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Оқытуға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бағытталған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тапсырмаларды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жүйелеу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арқылы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түрлі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жанрдағы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мәтіндер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құрастыру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Биярова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Сания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Бабагумаровна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пәнінің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Махатпаева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Алмагүл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Тұрсынғазынқызы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пәнінің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Назарбаев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мектебі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Өскемен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2E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ҚАЗАҚСТАН</w:t>
      </w:r>
    </w:p>
    <w:p w:rsidR="00112E1B" w:rsidRPr="00112E1B" w:rsidRDefault="00112E1B" w:rsidP="00112E1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112E1B" w:rsidRDefault="00112E1B" w:rsidP="00112E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жүйелеудің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сұрағы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жанрдағы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жазуына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Қолданылған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әдістер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зерделеу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салыстырмалы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Нәтижелер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көрсетті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Зерттелетін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мазмұндық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күтілетін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нәтижеге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жеткізілді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Маңыздылығы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сабақтарында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жеткізуге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дәлелдеуге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дағдыланады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Қолдану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аясы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жанрдағы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жетуіне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көрсететін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ресурс.</w:t>
      </w:r>
      <w:proofErr w:type="spellEnd"/>
    </w:p>
    <w:p w:rsidR="00112E1B" w:rsidRPr="00112E1B" w:rsidRDefault="00112E1B" w:rsidP="00112E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Кілт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сөздер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жанрдағы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Кіріспе</w:t>
      </w:r>
      <w:proofErr w:type="spellEnd"/>
    </w:p>
    <w:p w:rsidR="00112E1B" w:rsidRDefault="00112E1B" w:rsidP="0006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оқитын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жазылым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дағдысын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жетілдіретінін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2FA6" w:rsidRPr="00112E1B" w:rsidRDefault="00062FA6" w:rsidP="0006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12E1B" w:rsidRPr="00112E1B" w:rsidRDefault="00112E1B" w:rsidP="0006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12E1B" w:rsidRPr="00112E1B" w:rsidRDefault="00112E1B" w:rsidP="00062FA6">
      <w:pPr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2019, 2021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жылдардағы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аналитикалық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есебіне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7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жанрдағы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зерделеу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7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дескрипторлар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нәтижелер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80%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20% — «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барысында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12E1B" w:rsidRPr="00112E1B" w:rsidRDefault="00112E1B" w:rsidP="00112E1B">
      <w:pPr>
        <w:numPr>
          <w:ilvl w:val="0"/>
          <w:numId w:val="8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Қалыптастырушы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проактивті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болу»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зерделенді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8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жазудың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базасы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339" style="width:0;height:1.5pt" o:hralign="center" o:hrstd="t" o:hr="t" fillcolor="#a0a0a0" stroked="f"/>
        </w:pic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Жыл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Назарбаев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мектептерінде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11-сынып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оқушыларының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A-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level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, AS-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level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IGCSE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стандарттарына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тексеріледі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жауаптарын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мұғаліміне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Көбінесе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жанрдағы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олардан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өмірлік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тәжірибені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аналитикалық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пәнінде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сыныптарында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пәнінде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сыныптарында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форматы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«П1.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жанрлар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стильдерде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340" style="width:0;height:1.5pt" o:hralign="center" o:hrstd="t" o:hr="t" fillcolor="#a0a0a0" stroked="f"/>
        </w:pic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NIS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Programme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оқу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мақсаттарының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сабақтастығы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190"/>
        <w:gridCol w:w="1373"/>
        <w:gridCol w:w="2133"/>
        <w:gridCol w:w="2133"/>
        <w:gridCol w:w="2148"/>
      </w:tblGrid>
      <w:tr w:rsidR="00112E1B" w:rsidRPr="00112E1B" w:rsidTr="00112E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6-сынып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7-сынып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8-сынып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9-сынып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10-сынып</w:t>
            </w:r>
          </w:p>
        </w:tc>
      </w:tr>
      <w:tr w:rsidR="00112E1B" w:rsidRPr="00112E1B" w:rsidTr="00112E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П1.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жанрлар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стильдерде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хат,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күнделік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ауызекі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элементтері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(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ресми-іскерлік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(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түсіндірме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қолхат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құттықтау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хабарландыру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жарнама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публицистикалық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(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оқиға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репортаж,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ресми-іскерлік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(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сенімхат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ресми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құттықтау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іскерлік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хат)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публицистикалық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(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сұхбат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очерк),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ресми-іскерлік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(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өмірбаян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түйіндеме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публицистикалық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(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(аннотация,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тезис),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ресми-іскерлік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(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нұсқаулық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репортаж,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сұхбат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портреттік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очерк, эссе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жанрларда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341" style="width:0;height:1.5pt" o:hralign="center" o:hrstd="t" o:hr="t" fillcolor="#a0a0a0" stroked="f"/>
        </w:pic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Әдістеме</w:t>
      </w:r>
      <w:proofErr w:type="spellEnd"/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8-сыныптардағы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алдыңғы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жылдардағы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жоспарлары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БЖБ, ТЖБ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(П1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1370"/>
        <w:gridCol w:w="1525"/>
        <w:gridCol w:w="1842"/>
        <w:gridCol w:w="2094"/>
        <w:gridCol w:w="1574"/>
      </w:tblGrid>
      <w:tr w:rsidR="00112E1B" w:rsidRPr="00112E1B" w:rsidTr="00112E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Жанр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Мәтін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құрылымы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пен аудитория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Көркемдік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құралдар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Лексикалық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әртүрлілік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дәлдік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Қателер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</w:tr>
      <w:tr w:rsidR="00112E1B" w:rsidRPr="00112E1B" w:rsidTr="00112E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Репортаж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12E1B" w:rsidRPr="00112E1B" w:rsidTr="00112E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2E1B" w:rsidRPr="00112E1B" w:rsidRDefault="00112E1B" w:rsidP="00112E1B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сақтамау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мәтіннің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ескермеу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аудиторияны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форматтың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теориясына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бөлінбейтіні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жүргізілетіні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8-сыныптағы «Спорт»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бөлінгенімен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репортаж тек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теорияны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мазмұндық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тұрғыдан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342" style="width:0;height:1.5pt" o:hralign="center" o:hrstd="t" o:hr="t" fillcolor="#a0a0a0" stroked="f"/>
        </w:pic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Әдеби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шолу</w:t>
      </w:r>
      <w:proofErr w:type="spellEnd"/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білімінің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 Буслаев: </w:t>
      </w:r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Кез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келген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оқушының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шығармашылық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жұмысына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алдын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ала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логикалық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дайындық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болуы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тиіс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[2]. Ал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әдіскер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Неверов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рөлінің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[3].</w:t>
      </w:r>
    </w:p>
    <w:p w:rsidR="00112E1B" w:rsidRPr="00112E1B" w:rsidRDefault="00112E1B" w:rsidP="00112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343" style="width:0;height:1.5pt" o:hralign="center" o:hrstd="t" o:hr="t" fillcolor="#a0a0a0" stroked="f"/>
        </w:pic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Тапсырма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үлгісі</w:t>
      </w:r>
      <w:proofErr w:type="spellEnd"/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Нұсқау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көзқарасыңызды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білдіріп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автор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позициясын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бағалай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аргументативті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эссе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Өзіндік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критерийлері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5"/>
        <w:gridCol w:w="3578"/>
      </w:tblGrid>
      <w:tr w:rsidR="00112E1B" w:rsidRPr="00112E1B" w:rsidTr="00112E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«+»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Егер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барлық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ерекшеліктер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орындалса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«–»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критерий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жоқ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болса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көрсетіледі</w:t>
            </w:r>
            <w:proofErr w:type="spellEnd"/>
          </w:p>
        </w:tc>
      </w:tr>
      <w:tr w:rsidR="00112E1B" w:rsidRPr="00112E1B" w:rsidTr="00112E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Кіріспе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мәселені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тезис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E1B" w:rsidRPr="00112E1B" w:rsidTr="00112E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1-абзац: тезис,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 аргумент,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E1B" w:rsidRPr="00112E1B" w:rsidTr="00112E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2-абзац: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қарама-қарсы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көзқарасты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жоққа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 контраргумент,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E1B" w:rsidRPr="00112E1B" w:rsidTr="00112E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E1B" w:rsidRPr="00112E1B" w:rsidTr="00112E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4–5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лексикасы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көркемдік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кіріспе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Өзіндік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дамытып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344" style="width:0;height:1.5pt" o:hralign="center" o:hrstd="t" o:hr="t" fillcolor="#a0a0a0" stroked="f"/>
        </w:pic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Нәтижелер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қорытындылар</w:t>
      </w:r>
      <w:proofErr w:type="spellEnd"/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Фокус-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топтардағы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тоқсандағы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БЖБ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748"/>
        <w:gridCol w:w="1493"/>
        <w:gridCol w:w="1820"/>
        <w:gridCol w:w="2042"/>
        <w:gridCol w:w="1562"/>
      </w:tblGrid>
      <w:tr w:rsidR="00112E1B" w:rsidRPr="00112E1B" w:rsidTr="00112E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Жанр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Құрылым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аудитория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Көркемдік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құралдар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Лексикалық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дәлдік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Қателер</w:t>
            </w:r>
            <w:proofErr w:type="spellEnd"/>
            <w:r w:rsidRPr="0011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</w:tr>
      <w:tr w:rsidR="00112E1B" w:rsidRPr="00112E1B" w:rsidTr="00112E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12E1B" w:rsidRPr="00112E1B" w:rsidTr="00112E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2E1B" w:rsidRPr="00112E1B" w:rsidRDefault="00112E1B" w:rsidP="00112E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3-тоқсан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бағаларының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жазылым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дағдысы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айтарлықтай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жоғарылады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жанрдағы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мәтіндер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2E1B" w:rsidRPr="00112E1B" w:rsidRDefault="00112E1B" w:rsidP="00112E1B">
      <w:pPr>
        <w:numPr>
          <w:ilvl w:val="0"/>
          <w:numId w:val="10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бекітуге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10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ескеруге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10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байытуға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10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тақырыпқа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10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тексеруге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10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өлшемдерін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түсінуге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E1B" w:rsidRPr="00112E1B" w:rsidRDefault="00112E1B" w:rsidP="00112E1B">
      <w:pPr>
        <w:numPr>
          <w:ilvl w:val="0"/>
          <w:numId w:val="10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дағдылануға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1B" w:rsidRPr="00112E1B" w:rsidRDefault="00112E1B" w:rsidP="00112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345" style="width:0;height:1.5pt" o:hralign="center" o:hrstd="t" o:hr="t" fillcolor="#a0a0a0" stroked="f"/>
        </w:pict>
      </w:r>
    </w:p>
    <w:p w:rsidR="00112E1B" w:rsidRPr="00112E1B" w:rsidRDefault="00112E1B" w:rsidP="00112E1B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Пайдаланылған</w:t>
      </w:r>
      <w:proofErr w:type="spellEnd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әдебиеттер</w:t>
      </w:r>
      <w:proofErr w:type="spellEnd"/>
    </w:p>
    <w:p w:rsidR="00112E1B" w:rsidRPr="00112E1B" w:rsidRDefault="00112E1B" w:rsidP="00112E1B">
      <w:pPr>
        <w:numPr>
          <w:ilvl w:val="0"/>
          <w:numId w:val="1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  <w:r w:rsidRPr="00112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«NIS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»: </w:t>
      </w:r>
      <w:hyperlink r:id="rId5" w:tgtFrame="_new" w:history="1">
        <w:r w:rsidRPr="00112E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https://fmalm.nis.edu.kz/roditeli/obrazovatelnaya-programma-nis-programme</w:t>
        </w:r>
      </w:hyperlink>
    </w:p>
    <w:p w:rsidR="00112E1B" w:rsidRPr="00112E1B" w:rsidRDefault="00112E1B" w:rsidP="00112E1B">
      <w:pPr>
        <w:numPr>
          <w:ilvl w:val="0"/>
          <w:numId w:val="1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 Буслаев.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Отандық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тілді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оқыту</w:t>
      </w:r>
      <w:proofErr w:type="spellEnd"/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1992.</w:t>
      </w:r>
    </w:p>
    <w:p w:rsidR="00112E1B" w:rsidRPr="00112E1B" w:rsidRDefault="00112E1B" w:rsidP="00112E1B">
      <w:pPr>
        <w:numPr>
          <w:ilvl w:val="0"/>
          <w:numId w:val="1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new" w:history="1">
        <w:r w:rsidRPr="00112E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https://infourok.ru/urok-podgotovka-k-napisaniyu-sochineniyarassuzhdeniya-3470754.html</w:t>
        </w:r>
      </w:hyperlink>
    </w:p>
    <w:p w:rsidR="00112E1B" w:rsidRPr="00112E1B" w:rsidRDefault="00112E1B" w:rsidP="00112E1B">
      <w:pPr>
        <w:numPr>
          <w:ilvl w:val="0"/>
          <w:numId w:val="1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Black P.,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Wiliam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 </w:t>
      </w:r>
      <w:r w:rsidRPr="00112E1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Inside the Black Box: Raising Standards Through Classroom Assessment.</w:t>
      </w:r>
      <w:r w:rsidRPr="00112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King`s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College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London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112E1B">
        <w:rPr>
          <w:rFonts w:ascii="Times New Roman" w:eastAsia="Times New Roman" w:hAnsi="Times New Roman" w:cs="Times New Roman"/>
          <w:sz w:val="24"/>
          <w:szCs w:val="24"/>
          <w:lang w:eastAsia="ru-RU"/>
        </w:rPr>
        <w:t>, 1998.</w:t>
      </w:r>
    </w:p>
    <w:p w:rsidR="005853EC" w:rsidRPr="00112E1B" w:rsidRDefault="005853EC" w:rsidP="00112E1B">
      <w:pPr>
        <w:spacing w:line="240" w:lineRule="auto"/>
        <w:ind w:firstLine="567"/>
        <w:jc w:val="both"/>
      </w:pPr>
    </w:p>
    <w:sectPr w:rsidR="005853EC" w:rsidRPr="00112E1B" w:rsidSect="00112E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530"/>
    <w:multiLevelType w:val="multilevel"/>
    <w:tmpl w:val="90A4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E1E3C"/>
    <w:multiLevelType w:val="multilevel"/>
    <w:tmpl w:val="5482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25667"/>
    <w:multiLevelType w:val="multilevel"/>
    <w:tmpl w:val="E8C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D452D"/>
    <w:multiLevelType w:val="multilevel"/>
    <w:tmpl w:val="44C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D5150"/>
    <w:multiLevelType w:val="multilevel"/>
    <w:tmpl w:val="4E4C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D40F3"/>
    <w:multiLevelType w:val="multilevel"/>
    <w:tmpl w:val="BB82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813D5"/>
    <w:multiLevelType w:val="multilevel"/>
    <w:tmpl w:val="2196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73715"/>
    <w:multiLevelType w:val="multilevel"/>
    <w:tmpl w:val="BA4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D3803"/>
    <w:multiLevelType w:val="multilevel"/>
    <w:tmpl w:val="2568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6200E7"/>
    <w:multiLevelType w:val="multilevel"/>
    <w:tmpl w:val="7B9E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13D24"/>
    <w:multiLevelType w:val="multilevel"/>
    <w:tmpl w:val="9CE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DE"/>
    <w:rsid w:val="00062FA6"/>
    <w:rsid w:val="00112E1B"/>
    <w:rsid w:val="005853EC"/>
    <w:rsid w:val="0065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29CC"/>
  <w15:chartTrackingRefBased/>
  <w15:docId w15:val="{BB611203-8FCE-4919-8A4A-029B5D62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rok-podgotovka-k-napisaniyu-sochineniyarassuzhdeniya-3470754.html" TargetMode="External"/><Relationship Id="rId5" Type="http://schemas.openxmlformats.org/officeDocument/2006/relationships/hyperlink" Target="https://fmalm.nis.edu.kz/roditeli/obrazovatelnaya-programma-nis-program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Махатпаева Алмагуль Турсынгазиновна</dc:creator>
  <cp:keywords/>
  <dc:description/>
  <cp:lastModifiedBy>Махатпаева Алмагуль Турсынгазиновна</cp:lastModifiedBy>
  <cp:revision>2</cp:revision>
  <dcterms:created xsi:type="dcterms:W3CDTF">2025-10-09T02:43:00Z</dcterms:created>
  <dcterms:modified xsi:type="dcterms:W3CDTF">2025-10-09T02:54:00Z</dcterms:modified>
</cp:coreProperties>
</file>