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1D5" w:rsidRDefault="005171D5" w:rsidP="005171D5">
      <w:pPr>
        <w:spacing w:after="0" w:line="240" w:lineRule="auto"/>
        <w:ind w:right="57"/>
        <w:rPr>
          <w:rFonts w:ascii="Times New Roman" w:hAnsi="Times New Roman" w:cs="Times New Roman"/>
          <w:i/>
          <w:noProof/>
          <w:sz w:val="32"/>
          <w:szCs w:val="32"/>
          <w:lang w:val="kk-KZ" w:eastAsia="ru-RU"/>
        </w:rPr>
      </w:pPr>
    </w:p>
    <w:p w:rsidR="005171D5" w:rsidRDefault="005171D5" w:rsidP="005171D5">
      <w:pPr>
        <w:spacing w:after="0" w:line="240" w:lineRule="auto"/>
        <w:ind w:right="5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val="kk-KZ" w:eastAsia="ru-RU"/>
        </w:rPr>
        <w:t xml:space="preserve">                  </w:t>
      </w:r>
      <w:bookmarkStart w:id="0" w:name="_GoBack"/>
      <w:bookmarkEnd w:id="0"/>
      <w:r w:rsidRPr="005171D5">
        <w:rPr>
          <w:rFonts w:ascii="Times New Roman" w:hAnsi="Times New Roman"/>
          <w:sz w:val="28"/>
          <w:szCs w:val="28"/>
          <w:lang w:val="kk-KZ"/>
        </w:rPr>
        <w:t>Физика пәнінен</w:t>
      </w:r>
      <w:r w:rsidRPr="005171D5">
        <w:rPr>
          <w:rFonts w:ascii="Times New Roman" w:hAnsi="Times New Roman" w:cs="Times New Roman"/>
          <w:noProof/>
          <w:sz w:val="28"/>
          <w:szCs w:val="28"/>
          <w:lang w:val="kk-KZ" w:eastAsia="ru-RU"/>
        </w:rPr>
        <w:t xml:space="preserve"> </w:t>
      </w:r>
      <w:r w:rsidRPr="005171D5">
        <w:rPr>
          <w:rFonts w:ascii="Times New Roman" w:hAnsi="Times New Roman"/>
          <w:sz w:val="28"/>
          <w:szCs w:val="28"/>
          <w:lang w:val="kk-KZ"/>
        </w:rPr>
        <w:t xml:space="preserve"> бітіруші сыныптарға арналған  сабақтың </w:t>
      </w:r>
    </w:p>
    <w:p w:rsidR="005171D5" w:rsidRPr="005171D5" w:rsidRDefault="005171D5" w:rsidP="005171D5">
      <w:pPr>
        <w:spacing w:after="0" w:line="240" w:lineRule="auto"/>
        <w:ind w:right="57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                                       </w:t>
      </w:r>
      <w:r w:rsidRPr="005171D5">
        <w:rPr>
          <w:rFonts w:ascii="Times New Roman" w:hAnsi="Times New Roman"/>
          <w:sz w:val="28"/>
          <w:szCs w:val="28"/>
          <w:lang w:val="kk-KZ"/>
        </w:rPr>
        <w:t xml:space="preserve">қысқа мерзімді жоспары </w:t>
      </w:r>
    </w:p>
    <w:p w:rsidR="005171D5" w:rsidRPr="005171D5" w:rsidRDefault="005171D5" w:rsidP="005171D5">
      <w:pPr>
        <w:spacing w:after="0" w:line="240" w:lineRule="auto"/>
        <w:ind w:right="57"/>
        <w:rPr>
          <w:rFonts w:ascii="Times New Roman" w:hAnsi="Times New Roman" w:cs="Times New Roman"/>
          <w:noProof/>
          <w:sz w:val="28"/>
          <w:szCs w:val="28"/>
          <w:lang w:val="kk-KZ" w:eastAsia="ru-RU"/>
        </w:rPr>
      </w:pPr>
      <w:r w:rsidRPr="005171D5">
        <w:rPr>
          <w:rFonts w:ascii="Times New Roman" w:hAnsi="Times New Roman"/>
          <w:sz w:val="28"/>
          <w:szCs w:val="28"/>
          <w:lang w:val="kk-KZ"/>
        </w:rPr>
        <w:t xml:space="preserve">   </w:t>
      </w:r>
    </w:p>
    <w:tbl>
      <w:tblPr>
        <w:tblStyle w:val="a4"/>
        <w:tblW w:w="1048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4"/>
        <w:gridCol w:w="425"/>
        <w:gridCol w:w="996"/>
        <w:gridCol w:w="377"/>
        <w:gridCol w:w="46"/>
        <w:gridCol w:w="190"/>
        <w:gridCol w:w="5335"/>
        <w:gridCol w:w="175"/>
        <w:gridCol w:w="673"/>
        <w:gridCol w:w="1169"/>
        <w:gridCol w:w="675"/>
      </w:tblGrid>
      <w:tr w:rsidR="005171D5" w:rsidTr="005171D5">
        <w:trPr>
          <w:gridAfter w:val="1"/>
          <w:wAfter w:w="675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Пәні: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физика.</w:t>
            </w:r>
          </w:p>
        </w:tc>
        <w:tc>
          <w:tcPr>
            <w:tcW w:w="594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Күні.айы.жылы:     15.09.21 жыл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Сабақтың ұзақтығы:  45 мин</w:t>
            </w:r>
          </w:p>
        </w:tc>
        <w:tc>
          <w:tcPr>
            <w:tcW w:w="201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 саны: 21</w:t>
            </w:r>
          </w:p>
        </w:tc>
      </w:tr>
      <w:tr w:rsidR="005171D5" w:rsidTr="005171D5">
        <w:trPr>
          <w:gridAfter w:val="1"/>
          <w:wAfter w:w="675" w:type="dxa"/>
          <w:trHeight w:val="416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тақырыбы</w:t>
            </w:r>
          </w:p>
        </w:tc>
        <w:tc>
          <w:tcPr>
            <w:tcW w:w="79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i/>
                <w:sz w:val="32"/>
                <w:szCs w:val="32"/>
                <w:lang w:val="kk-KZ"/>
              </w:rPr>
            </w:pPr>
            <w:r>
              <w:rPr>
                <w:rFonts w:ascii="Times New Roman" w:hAnsi="Times New Roman"/>
                <w:i/>
                <w:sz w:val="32"/>
                <w:szCs w:val="32"/>
                <w:lang w:val="kk-KZ"/>
              </w:rPr>
              <w:t xml:space="preserve">                   Мен мамандық иесімін  </w:t>
            </w:r>
          </w:p>
        </w:tc>
      </w:tr>
      <w:tr w:rsidR="005171D5" w:rsidRPr="005171D5" w:rsidTr="005171D5">
        <w:trPr>
          <w:gridAfter w:val="1"/>
          <w:wAfter w:w="675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Сілтеме:</w:t>
            </w:r>
          </w:p>
        </w:tc>
        <w:tc>
          <w:tcPr>
            <w:tcW w:w="79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Түрлі жоғары оқу орындарынан алынған ақпараттар </w:t>
            </w:r>
          </w:p>
        </w:tc>
      </w:tr>
      <w:tr w:rsidR="005171D5" w:rsidTr="005171D5">
        <w:trPr>
          <w:gridAfter w:val="1"/>
          <w:wAfter w:w="675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Жалпы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мақсаты:</w:t>
            </w:r>
          </w:p>
        </w:tc>
        <w:tc>
          <w:tcPr>
            <w:tcW w:w="79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 w:rsidP="00CB7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Оқушыларға мамандық  таңдау  туралы білімдерін, түсініктерін кеңейте отырып,мамандықтарға деген ынта- ықыласын арттыру. </w:t>
            </w:r>
          </w:p>
          <w:p w:rsidR="005171D5" w:rsidRDefault="005171D5" w:rsidP="00CB7F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Кәсіптік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бағдар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беру.</w:t>
            </w:r>
          </w:p>
          <w:p w:rsidR="005171D5" w:rsidRDefault="005171D5" w:rsidP="00CB7F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Өзін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өзі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тану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аумағын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кеңейту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мамандық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  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    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әлемінен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ақпараттар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беру</w:t>
            </w:r>
          </w:p>
        </w:tc>
      </w:tr>
      <w:tr w:rsidR="005171D5" w:rsidTr="005171D5">
        <w:trPr>
          <w:gridAfter w:val="1"/>
          <w:wAfter w:w="675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Оқыту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нәтижесі</w:t>
            </w:r>
          </w:p>
        </w:tc>
        <w:tc>
          <w:tcPr>
            <w:tcW w:w="79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 w:rsidP="00CB7F80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Оқушыларға мамандық  таңдау  туралы білімдерін, түсініктерін кеңейте отырып,мамандықтарға деген ынта- ықыласын артады</w:t>
            </w:r>
          </w:p>
          <w:p w:rsidR="005171D5" w:rsidRDefault="005171D5" w:rsidP="00CB7F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Кәсіптік бағдар алу үшін түсінік алады.</w:t>
            </w:r>
          </w:p>
          <w:p w:rsidR="005171D5" w:rsidRDefault="005171D5" w:rsidP="00CB7F80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Өзін өзі тану аумағын кеңейтіліп,, мамандық    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 xml:space="preserve">             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әлемінен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ақпараттар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алады</w:t>
            </w:r>
          </w:p>
        </w:tc>
      </w:tr>
      <w:tr w:rsidR="005171D5" w:rsidRPr="005171D5" w:rsidTr="005171D5">
        <w:trPr>
          <w:gridAfter w:val="1"/>
          <w:wAfter w:w="675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Күтетін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нәтиже:</w:t>
            </w:r>
          </w:p>
        </w:tc>
        <w:tc>
          <w:tcPr>
            <w:tcW w:w="79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 туралы ақпараттан соң,өз білімдеріне қарай пәндерін дұрыс таңдауына бағыт алады</w:t>
            </w:r>
          </w:p>
        </w:tc>
      </w:tr>
      <w:tr w:rsidR="005171D5" w:rsidRPr="005171D5" w:rsidTr="005171D5">
        <w:trPr>
          <w:gridAfter w:val="1"/>
          <w:wAfter w:w="675" w:type="dxa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Түйінді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идея</w:t>
            </w:r>
          </w:p>
        </w:tc>
        <w:tc>
          <w:tcPr>
            <w:tcW w:w="7965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Оқушылардың практикалық және теориялық білімдерін ойлау арқылы түсіне отырып , жауап іздеу.Мағынасына терең ой жіберіп, сөзін жеткізе білуге , өз білетініне сүйену.</w:t>
            </w:r>
          </w:p>
        </w:tc>
      </w:tr>
      <w:tr w:rsidR="005171D5" w:rsidTr="005171D5">
        <w:trPr>
          <w:gridAfter w:val="1"/>
          <w:wAfter w:w="675" w:type="dxa"/>
          <w:trHeight w:val="150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</w:t>
            </w:r>
            <w:r>
              <w:rPr>
                <w:rFonts w:ascii="Times New Roman" w:hAnsi="Times New Roman" w:cs="Times New Roman"/>
                <w:lang w:val="kk-KZ"/>
              </w:rPr>
              <w:t>м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5м                           </w:t>
            </w:r>
          </w:p>
        </w:tc>
        <w:tc>
          <w:tcPr>
            <w:tcW w:w="1421" w:type="dxa"/>
            <w:gridSpan w:val="2"/>
            <w:vMerge w:val="restart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171D5" w:rsidRDefault="005171D5">
            <w:pPr>
              <w:spacing w:after="0" w:line="240" w:lineRule="auto"/>
              <w:ind w:right="113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Сабақтың барысында  әр топтарға тапсырмалар  беріледі.</w:t>
            </w:r>
          </w:p>
        </w:tc>
        <w:tc>
          <w:tcPr>
            <w:tcW w:w="612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Жаттығулар </w:t>
            </w:r>
          </w:p>
        </w:tc>
        <w:tc>
          <w:tcPr>
            <w:tcW w:w="184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Іс - әрекеті</w:t>
            </w:r>
          </w:p>
        </w:tc>
      </w:tr>
      <w:tr w:rsidR="005171D5" w:rsidTr="005171D5">
        <w:trPr>
          <w:gridAfter w:val="1"/>
          <w:wAfter w:w="675" w:type="dxa"/>
          <w:trHeight w:val="150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Мамандықтардың суретімен топқа бөлу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Кіріспе: </w:t>
            </w:r>
          </w:p>
          <w:p w:rsidR="005171D5" w:rsidRDefault="00517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Әлемде 40 мыңға жуық әр түрлі мамандықтар бар. Статистердің зерттеуі бойынша жыл сайын </w:t>
            </w:r>
          </w:p>
          <w:p w:rsidR="005171D5" w:rsidRDefault="00517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25млн адам өзінің жұмыс орнын ауыстырып, оның 12 %-і қайтадан өз орнына қайтып оралады екен. Бұдан мамандықты таңдауда әр маман қателесіпті деуге бола ма? Әлде өзінің болашақтағы профессионалды қызметіне жан- жақты дайындалу керек шығар? Қоғамға, адамдарға пайдасын тигізетін мамандықтарды қалай таңдауға болады? Осы және тағы басқа мәселелер туралы бүгінгі  сабағында шешімін аламыз деген сенімдемін.</w:t>
            </w:r>
          </w:p>
          <w:p w:rsidR="005171D5" w:rsidRDefault="005171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Слайдтарды көрсету арқылы,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әннің 3 топқа бөлінген шумақтары арқылы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  <w:t>топтарды орындарына отырғызу</w:t>
            </w:r>
          </w:p>
        </w:tc>
      </w:tr>
      <w:tr w:rsidR="005171D5" w:rsidTr="005171D5">
        <w:trPr>
          <w:gridAfter w:val="1"/>
          <w:wAfter w:w="675" w:type="dxa"/>
          <w:trHeight w:val="630"/>
        </w:trPr>
        <w:tc>
          <w:tcPr>
            <w:tcW w:w="42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1" w:type="dxa"/>
            <w:gridSpan w:val="2"/>
            <w:vMerge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vAlign w:val="center"/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  <w:tc>
          <w:tcPr>
            <w:tcW w:w="6123" w:type="dxa"/>
            <w:gridSpan w:val="5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Психологиялық сәт: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"Психогеометрия"- өзін- өзі  тану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Оқушылар өзіңе ұнаған геометриялық фигуралардың кез келгенін таңдауы тиіс. Әр фигура қандай да бір адам бойындағы қасиетті, қабілетті білдіреді. Әрқайсысымыз өзімізді танып көрелік.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Квадрат.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t xml:space="preserve">Сенде төзімділік, шыдамдылық, еңбекқорлық дамыған. Өз айналаңа адамдарды жинап ұйымдастыру, реттеу және жүйелеу қабілеті баршылық. Сенен үздік администратор шығады, бірақ саған өзіңнің кәсіптік мамандығыңды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  <w:lastRenderedPageBreak/>
              <w:t xml:space="preserve">менеджментпен байланыстырмауға ұсыныс айтамын.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Шеңбер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адамгершілік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дамыған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Сен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өз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әріптесінді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тыңдай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аласың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қайғысы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қуанышын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бірге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бөлісесін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басқаның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ауыртпалығына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жәрдемдесу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қабілеті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қалыптасқан.Саған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адамдар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арасындағы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кикілжіңдер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емес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өзіңді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олардан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аулақ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ұстайсың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менеджмент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саласындағы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мамандықтар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сәйкес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келмейді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үздік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психолог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шығуы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мүмкін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Үшбұрыш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.</w:t>
            </w:r>
            <w:proofErr w:type="gramEnd"/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басқарушылық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қасиет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тән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көздеген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мақсатына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жеткізуге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барлық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мүмкіншілігіңді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жасайсың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Өзіңе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сенімдісің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жеңіске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жетістіктерге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ұтыстарға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оңай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жеткізесің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Айтқаныннан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шықпайсың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абыройлысың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Сен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қоғамда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өмірде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жетістіктерге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қол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жеткізесің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жұмысыңда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жоғарыға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көтерілуге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бейімділігін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бар.Саған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менеджмент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саласын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меңгеру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ұсынылады</w:t>
            </w:r>
            <w:proofErr w:type="spellEnd"/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lastRenderedPageBreak/>
              <w:t xml:space="preserve">Стикерлердің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көмегімен,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слайдтарға қарап отырып,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lang w:val="kk-KZ"/>
              </w:rPr>
              <w:t>өздері туралы пікір алады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kk-KZ"/>
              </w:rPr>
            </w:pPr>
          </w:p>
        </w:tc>
      </w:tr>
      <w:tr w:rsidR="005171D5" w:rsidTr="005171D5">
        <w:trPr>
          <w:gridAfter w:val="1"/>
          <w:wAfter w:w="675" w:type="dxa"/>
          <w:cantSplit/>
          <w:trHeight w:val="1239"/>
        </w:trPr>
        <w:tc>
          <w:tcPr>
            <w:tcW w:w="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10м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Оқытуды  басқару жәнекөшбашылық</w:t>
            </w: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Маркер,постер, оқулық.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І-Тапсырма: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«Ми шабуылы» - ой қозғау: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Мамандық дегеніміз не?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(Кластер әдісі арқылы). Әр топ өз ойын  көрсетеді 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Плакаттар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Маркерлер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Магнит</w:t>
            </w:r>
          </w:p>
        </w:tc>
      </w:tr>
      <w:tr w:rsidR="005171D5" w:rsidTr="005171D5">
        <w:trPr>
          <w:gridAfter w:val="1"/>
          <w:wAfter w:w="675" w:type="dxa"/>
          <w:cantSplit/>
          <w:trHeight w:val="704"/>
        </w:trPr>
        <w:tc>
          <w:tcPr>
            <w:tcW w:w="42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12м</w:t>
            </w:r>
          </w:p>
          <w:p w:rsidR="005171D5" w:rsidRDefault="005171D5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lang w:val="kk-KZ"/>
              </w:rPr>
            </w:pPr>
          </w:p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lang w:val="kk-KZ"/>
              </w:rPr>
            </w:pPr>
          </w:p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Оқулық </w:t>
            </w:r>
          </w:p>
        </w:tc>
        <w:tc>
          <w:tcPr>
            <w:tcW w:w="5700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ІІ-тапсырма</w:t>
            </w:r>
            <w:r>
              <w:rPr>
                <w:i/>
                <w:iCs/>
                <w:lang w:val="kk-KZ"/>
              </w:rPr>
              <w:t xml:space="preserve">                                  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     Әр топ өздерің келіспейтін тұжырымдарды              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kk-KZ"/>
              </w:rPr>
              <w:t xml:space="preserve">           таңдап алып,ойларыңды дәлелдеңдер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бір-ақ рет біржола таңдалады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таңдау қалтаның қалың болуына байланысты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Отбасы және достарынның ақылына сүйеніп мамандық таңдауға болады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Қартайғанда да мамандық таңдауға болады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Жақсы білім алу үшін қымбат оқу орнына түсу керек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Ақша болса, мамандық қажет емес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таңдауда психологтің  көмегі қажет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таңдаудағы басты өлшем – қызығу мен қоғамдық сұраныстың сәйкестігі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Таңдайтын мамандығымды болашақ табысым анықтайды </w:t>
            </w:r>
          </w:p>
          <w:p w:rsidR="005171D5" w:rsidRDefault="005171D5" w:rsidP="00CB7F80">
            <w:pPr>
              <w:pStyle w:val="a3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Мамандық таңдау – күн көріс қамы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Әр топқа 3 сұрақ дайындалады. </w:t>
            </w:r>
          </w:p>
        </w:tc>
      </w:tr>
      <w:tr w:rsidR="005171D5" w:rsidTr="005171D5">
        <w:trPr>
          <w:gridAfter w:val="1"/>
          <w:wAfter w:w="675" w:type="dxa"/>
          <w:cantSplit/>
          <w:trHeight w:val="419"/>
        </w:trPr>
        <w:tc>
          <w:tcPr>
            <w:tcW w:w="9810" w:type="dxa"/>
            <w:gridSpan w:val="10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Презентация-</w:t>
            </w:r>
            <w:proofErr w:type="spellStart"/>
            <w:r>
              <w:rPr>
                <w:b/>
                <w:bCs/>
                <w:i/>
                <w:iCs/>
              </w:rPr>
              <w:t>Мамандық</w:t>
            </w:r>
            <w:proofErr w:type="spellEnd"/>
            <w:r>
              <w:rPr>
                <w:b/>
                <w:bCs/>
                <w:i/>
                <w:iCs/>
              </w:rPr>
              <w:t xml:space="preserve">» </w:t>
            </w:r>
            <w:proofErr w:type="spellStart"/>
            <w:r>
              <w:rPr>
                <w:b/>
                <w:bCs/>
                <w:i/>
                <w:iCs/>
              </w:rPr>
              <w:t>сөзіне</w:t>
            </w:r>
            <w:proofErr w:type="spellEnd"/>
            <w:r>
              <w:rPr>
                <w:b/>
                <w:bCs/>
                <w:i/>
                <w:iCs/>
              </w:rPr>
              <w:t xml:space="preserve">  </w:t>
            </w:r>
            <w:proofErr w:type="spellStart"/>
            <w:r>
              <w:rPr>
                <w:b/>
                <w:bCs/>
                <w:i/>
                <w:iCs/>
              </w:rPr>
              <w:t>анықтама</w:t>
            </w:r>
            <w:proofErr w:type="spellEnd"/>
            <w:r>
              <w:rPr>
                <w:b/>
                <w:bCs/>
                <w:i/>
                <w:iCs/>
              </w:rPr>
              <w:t xml:space="preserve"> беру. 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Профессия-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латын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сөзінен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шыққан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“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professio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”-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анықталған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дегенді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білдіреді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қарапайым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өмір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сүру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көзі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болып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табылатын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да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бір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дайындықты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жауапкершілікті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талап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ететін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қызметінің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маңызды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бөлігі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  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тағдырыңды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сөз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Кейінгі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өмірде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өкінбейтіндей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қабілеті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мен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бейімділігіне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кәсіп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түрін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таңдау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..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өте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жауапкершілікті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маңызды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іс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таңдауда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адам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өзінің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қызығушылығына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қабілетіне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бейімділігіне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қалауына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сүйену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керек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Сондай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мамандығының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10-20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жылға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дейін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өз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сұранысын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жоғалтпауына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көңіл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бөледі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Бұл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мамандықтарға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деген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бірқалыпты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тұрақты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сұраныс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деп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аталады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Өзінің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сұранысын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қызығушылығын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жоймаған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кең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тараған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мамандықтарға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дәрігер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мұғалім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құрылысшы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мамандықтарын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атап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өтуге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болады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Ал,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өзекті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мамандықтар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қатарына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жоғары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технология,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байланыс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коммуникация,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әлеуметтік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орта,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экономиканы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басқару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мамандықтары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және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еңбек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сұранысына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қажетті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жаңа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мамандықтары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жатады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Қоғамның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дамуында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біздің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өңірде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қазба-байлықтарын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игеретін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мамандық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иелері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қажет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. </w:t>
            </w:r>
          </w:p>
        </w:tc>
      </w:tr>
      <w:tr w:rsidR="005171D5" w:rsidTr="005171D5">
        <w:trPr>
          <w:gridAfter w:val="1"/>
          <w:wAfter w:w="675" w:type="dxa"/>
          <w:cantSplit/>
          <w:trHeight w:val="358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7м</w:t>
            </w:r>
          </w:p>
        </w:tc>
        <w:tc>
          <w:tcPr>
            <w:tcW w:w="1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171D5" w:rsidRDefault="005171D5">
            <w:pPr>
              <w:spacing w:after="0" w:line="240" w:lineRule="auto"/>
              <w:ind w:left="113" w:right="113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Оқуды бағалау жинтық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textDirection w:val="btLr"/>
            <w:hideMark/>
          </w:tcPr>
          <w:p w:rsidR="005171D5" w:rsidRDefault="005171D5">
            <w:pPr>
              <w:rPr>
                <w:rFonts w:ascii="Times New Roman" w:hAnsi="Times New Roman" w:cs="Times New Roman"/>
                <w:i/>
                <w:lang w:val="kk-KZ"/>
              </w:rPr>
            </w:pPr>
          </w:p>
        </w:tc>
        <w:tc>
          <w:tcPr>
            <w:tcW w:w="6183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Презентациялау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А4 парағы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Маркер</w:t>
            </w: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қаламсап                                                                                                          </w:t>
            </w:r>
          </w:p>
        </w:tc>
      </w:tr>
      <w:tr w:rsidR="005171D5" w:rsidRPr="005171D5" w:rsidTr="005171D5">
        <w:trPr>
          <w:gridAfter w:val="1"/>
          <w:wAfter w:w="675" w:type="dxa"/>
          <w:cantSplit/>
          <w:trHeight w:val="330"/>
        </w:trPr>
        <w:tc>
          <w:tcPr>
            <w:tcW w:w="849" w:type="dxa"/>
            <w:gridSpan w:val="2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6м</w:t>
            </w:r>
          </w:p>
        </w:tc>
        <w:tc>
          <w:tcPr>
            <w:tcW w:w="1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i/>
                <w:lang w:val="kk-KZ"/>
              </w:rPr>
            </w:pPr>
            <w:r>
              <w:rPr>
                <w:rFonts w:ascii="Times New Roman" w:hAnsi="Times New Roman" w:cs="Times New Roman"/>
                <w:i/>
                <w:lang w:val="kk-KZ"/>
              </w:rPr>
              <w:t>Кері байланыс</w:t>
            </w:r>
          </w:p>
        </w:tc>
        <w:tc>
          <w:tcPr>
            <w:tcW w:w="6373" w:type="dxa"/>
            <w:gridSpan w:val="4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171D5" w:rsidRDefault="005171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Сауалнама.</w:t>
            </w:r>
            <w:r>
              <w:rPr>
                <w:rFonts w:ascii="Franklin Gothic Book" w:eastAsia="+mn-ea" w:hAnsi="Franklin Gothic Book" w:cs="+mn-cs"/>
                <w:color w:val="4E3B30"/>
                <w:kern w:val="24"/>
                <w:sz w:val="64"/>
                <w:szCs w:val="6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Өзіңіз үшін қандай қорытынды жасадыңыз, ойландыратын жағдай болды ма? </w:t>
            </w:r>
          </w:p>
          <w:p w:rsidR="005171D5" w:rsidRDefault="005171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Бүгінгі сынып сағатымызды  мына өлең жолдарымен аяқтауға рұқсат етіңіздер: </w:t>
            </w:r>
          </w:p>
          <w:p w:rsidR="005171D5" w:rsidRDefault="005171D5" w:rsidP="00CB7F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 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kk-KZ"/>
              </w:rPr>
              <w:t xml:space="preserve">Еңбек етсем, ертеңгі- бақытыма сенемін. </w:t>
            </w:r>
          </w:p>
          <w:p w:rsidR="005171D5" w:rsidRDefault="005171D5" w:rsidP="00CB7F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Мақсатыма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жеткізер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уақытыма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сенемін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171D5" w:rsidRDefault="005171D5" w:rsidP="00CB7F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Достық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іспен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қасты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да-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жеңеріме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сенемін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5171D5" w:rsidRDefault="005171D5" w:rsidP="00CB7F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Ақыл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сана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білім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мен-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өнеріме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сенемін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:rsidR="005171D5" w:rsidRDefault="005171D5" w:rsidP="00CB7F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Арым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таза,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көңіл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адалдыққа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сенемін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5171D5" w:rsidRDefault="005171D5" w:rsidP="00CB7F80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Абыройлы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ақ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ниет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адамдыққа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сенемін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!-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71D5" w:rsidRDefault="005171D5">
            <w:pPr>
              <w:spacing w:after="0" w:line="240" w:lineRule="auto"/>
              <w:ind w:left="720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дегендей ел сеніміне кіретін құрметті  мамандық иесі боламын десеңіздер бүгінгі кездесуде апайларымыз бен ағаларымыз айтқан ақыл кеңестерді жадыңызда ұстап ілім- білім алуға барлық күш жігерлеріңді жұмсап, егеменді еліміздің ертеңі -болашақ маман иелері болуларыңызға тілектестігімді білдіремін! 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Бүгінгі сабақ саған ұнады ма?деп аталатын сауалнамаға жауап. Сауалнама.</w:t>
            </w:r>
            <w:r>
              <w:rPr>
                <w:rFonts w:ascii="Franklin Gothic Book" w:eastAsia="+mn-ea" w:hAnsi="Franklin Gothic Book" w:cs="+mn-cs"/>
                <w:color w:val="4E3B30"/>
                <w:kern w:val="24"/>
                <w:sz w:val="64"/>
                <w:szCs w:val="64"/>
                <w:lang w:val="kk-KZ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 Өзіңіз үшін қандай </w:t>
            </w: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қорытынды жасадыңыз, ойландыратын жағдай болды ма? </w:t>
            </w:r>
          </w:p>
        </w:tc>
      </w:tr>
      <w:tr w:rsidR="005171D5" w:rsidTr="005171D5">
        <w:trPr>
          <w:cantSplit/>
          <w:trHeight w:val="869"/>
        </w:trPr>
        <w:tc>
          <w:tcPr>
            <w:tcW w:w="10485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5171D5" w:rsidRDefault="005171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Тексерілді:                               ОІМ :                     К.Қамбарова</w:t>
            </w:r>
          </w:p>
        </w:tc>
      </w:tr>
    </w:tbl>
    <w:p w:rsidR="005171D5" w:rsidRDefault="005171D5" w:rsidP="005171D5">
      <w:pPr>
        <w:ind w:right="-426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i/>
          <w:lang w:val="kk-KZ"/>
        </w:rPr>
        <w:t>Сабақ бойынша мұғалімнің жазбалары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5171D5" w:rsidRDefault="005171D5" w:rsidP="005171D5">
      <w:pPr>
        <w:spacing w:after="0" w:line="240" w:lineRule="auto"/>
        <w:ind w:right="57"/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</w:pPr>
      <w:r>
        <w:rPr>
          <w:rFonts w:ascii="Times New Roman" w:hAnsi="Times New Roman" w:cs="Times New Roman"/>
          <w:i/>
          <w:noProof/>
          <w:sz w:val="28"/>
          <w:szCs w:val="28"/>
          <w:lang w:val="kk-KZ" w:eastAsia="ru-RU"/>
        </w:rPr>
        <w:lastRenderedPageBreak/>
        <w:t xml:space="preserve">        </w:t>
      </w:r>
    </w:p>
    <w:p w:rsidR="00E776D6" w:rsidRDefault="00E776D6"/>
    <w:sectPr w:rsidR="00E776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Book">
    <w:altName w:val="Corbel"/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3408D0"/>
    <w:multiLevelType w:val="hybridMultilevel"/>
    <w:tmpl w:val="8F9CE3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D619F0"/>
    <w:multiLevelType w:val="hybridMultilevel"/>
    <w:tmpl w:val="9FC23D6C"/>
    <w:lvl w:ilvl="0" w:tplc="AA0C2F0A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4AD4E0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6FA4F7E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66B096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86C06B6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1A12D4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DF4808A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A0057E8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126EB54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63993F7F"/>
    <w:multiLevelType w:val="hybridMultilevel"/>
    <w:tmpl w:val="60FAD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A4338"/>
    <w:multiLevelType w:val="hybridMultilevel"/>
    <w:tmpl w:val="E9003770"/>
    <w:lvl w:ilvl="0" w:tplc="1006FB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9405D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427C4A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3406F3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F4AAAA0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B2DAE8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5185CE4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425AB2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CBC2788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44"/>
    <w:rsid w:val="005171D5"/>
    <w:rsid w:val="00D74544"/>
    <w:rsid w:val="00E7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444DD"/>
  <w15:chartTrackingRefBased/>
  <w15:docId w15:val="{14657778-2CDF-4803-BCEB-75BB5156D9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1D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71D5"/>
    <w:pPr>
      <w:ind w:left="720"/>
      <w:contextualSpacing/>
    </w:pPr>
  </w:style>
  <w:style w:type="table" w:styleId="a4">
    <w:name w:val="Table Grid"/>
    <w:basedOn w:val="a1"/>
    <w:uiPriority w:val="59"/>
    <w:rsid w:val="005171D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03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1058</Words>
  <Characters>6037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2021-10-06T15:11:00Z</dcterms:created>
  <dcterms:modified xsi:type="dcterms:W3CDTF">2021-10-06T15:13:00Z</dcterms:modified>
</cp:coreProperties>
</file>