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C0" w:rsidRDefault="000B2BC0" w:rsidP="00F432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        </w:t>
      </w:r>
      <w:proofErr w:type="gramStart"/>
      <w:r w:rsidRPr="000B2BC0">
        <w:rPr>
          <w:b/>
          <w:bCs/>
          <w:color w:val="000000"/>
        </w:rPr>
        <w:t>Каримова</w:t>
      </w:r>
      <w:r>
        <w:rPr>
          <w:b/>
          <w:bCs/>
          <w:color w:val="000000"/>
        </w:rPr>
        <w:t xml:space="preserve">  Эльмира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Турсынгалиевна</w:t>
      </w:r>
      <w:proofErr w:type="spellEnd"/>
    </w:p>
    <w:p w:rsidR="000B2BC0" w:rsidRDefault="000B2BC0" w:rsidP="00F432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заместитель директора по УВР</w:t>
      </w:r>
    </w:p>
    <w:p w:rsidR="000B2BC0" w:rsidRDefault="000B2BC0" w:rsidP="000B2B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ОШ№ 6 </w:t>
      </w:r>
      <w:proofErr w:type="spellStart"/>
      <w:r>
        <w:rPr>
          <w:b/>
          <w:bCs/>
          <w:color w:val="000000"/>
        </w:rPr>
        <w:t>им.А.С.Макаренко</w:t>
      </w:r>
      <w:proofErr w:type="spellEnd"/>
    </w:p>
    <w:p w:rsidR="000B2BC0" w:rsidRPr="000B2BC0" w:rsidRDefault="000B2BC0" w:rsidP="000B2B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432FF" w:rsidRPr="00F432FF" w:rsidRDefault="00D4742C" w:rsidP="00F432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F432FF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="00F432FF" w:rsidRPr="00F432FF">
        <w:rPr>
          <w:b/>
          <w:bCs/>
          <w:color w:val="000000"/>
          <w:sz w:val="36"/>
          <w:szCs w:val="36"/>
        </w:rPr>
        <w:t>« Инклюзивное</w:t>
      </w:r>
      <w:proofErr w:type="gramEnd"/>
      <w:r w:rsidR="00F432FF" w:rsidRPr="00F432FF">
        <w:rPr>
          <w:b/>
          <w:bCs/>
          <w:color w:val="000000"/>
          <w:sz w:val="36"/>
          <w:szCs w:val="36"/>
        </w:rPr>
        <w:t xml:space="preserve"> образование в современной школе:</w:t>
      </w:r>
    </w:p>
    <w:p w:rsidR="00F432FF" w:rsidRPr="00F432FF" w:rsidRDefault="001776DF" w:rsidP="00F432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проблемы, перспективы»</w:t>
      </w:r>
      <w:bookmarkStart w:id="0" w:name="_GoBack"/>
      <w:bookmarkEnd w:id="0"/>
    </w:p>
    <w:p w:rsidR="00FA78F4" w:rsidRDefault="00FA78F4" w:rsidP="00FA78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22C5F" w:rsidRDefault="00222C5F" w:rsidP="00222C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i/>
          <w:iCs/>
          <w:color w:val="0066CC"/>
          <w:sz w:val="24"/>
          <w:szCs w:val="24"/>
          <w:lang w:eastAsia="ru-RU"/>
        </w:rPr>
        <w:t>Когда кто-то идет не в ногу,</w:t>
      </w:r>
    </w:p>
    <w:p w:rsidR="00222C5F" w:rsidRDefault="00222C5F" w:rsidP="00222C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i/>
          <w:iCs/>
          <w:color w:val="0066CC"/>
          <w:sz w:val="24"/>
          <w:szCs w:val="24"/>
          <w:lang w:eastAsia="ru-RU"/>
        </w:rPr>
        <w:t>Не спеши осуждать его…</w:t>
      </w:r>
    </w:p>
    <w:p w:rsidR="00222C5F" w:rsidRDefault="00222C5F" w:rsidP="00222C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i/>
          <w:iCs/>
          <w:color w:val="0066CC"/>
          <w:sz w:val="24"/>
          <w:szCs w:val="24"/>
          <w:lang w:eastAsia="ru-RU"/>
        </w:rPr>
        <w:t>Возможно, он слышит звуки другого марша.</w:t>
      </w:r>
    </w:p>
    <w:p w:rsidR="00222C5F" w:rsidRDefault="00222C5F" w:rsidP="00222C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i/>
          <w:iCs/>
          <w:color w:val="0066CC"/>
          <w:sz w:val="24"/>
          <w:szCs w:val="24"/>
          <w:lang w:eastAsia="ru-RU"/>
        </w:rPr>
        <w:t xml:space="preserve">Генри </w:t>
      </w:r>
      <w:proofErr w:type="spellStart"/>
      <w:r>
        <w:rPr>
          <w:rFonts w:ascii="Cambria" w:eastAsia="Times New Roman" w:hAnsi="Cambria" w:cs="Arial"/>
          <w:i/>
          <w:iCs/>
          <w:color w:val="0066CC"/>
          <w:sz w:val="24"/>
          <w:szCs w:val="24"/>
          <w:lang w:eastAsia="ru-RU"/>
        </w:rPr>
        <w:t>Торро</w:t>
      </w:r>
      <w:proofErr w:type="spellEnd"/>
    </w:p>
    <w:p w:rsidR="00D5132B" w:rsidRDefault="00222C5F" w:rsidP="00D5132B">
      <w:pPr>
        <w:shd w:val="clear" w:color="auto" w:fill="FFFFFF"/>
        <w:spacing w:after="0" w:line="294" w:lineRule="atLeast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  <w:r w:rsidRPr="00A94C5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2E0271B3" wp14:editId="2ED0ABC8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2584174" cy="1828800"/>
            <wp:effectExtent l="0" t="0" r="6985" b="0"/>
            <wp:wrapSquare wrapText="bothSides"/>
            <wp:docPr id="1" name="Рисунок 1" descr="hello_html_m70e52f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0e52f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7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br w:type="textWrapping" w:clear="all"/>
      </w:r>
    </w:p>
    <w:p w:rsidR="006A187F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или включенное образование – термин, используемый для описания процесса обучения детей с особыми потребностями в </w:t>
      </w:r>
      <w:proofErr w:type="gramStart"/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0B2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для детей, имеющих особые образовательные потребности.</w:t>
      </w:r>
    </w:p>
    <w:p w:rsidR="0063561E" w:rsidRPr="00D4742C" w:rsidRDefault="0063561E" w:rsidP="0063561E">
      <w:pPr>
        <w:spacing w:after="150" w:line="25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4742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  <w:lang w:eastAsia="ru-RU"/>
        </w:rPr>
        <w:t>Инклюзивное образование</w:t>
      </w:r>
    </w:p>
    <w:p w:rsidR="0063561E" w:rsidRPr="00D4742C" w:rsidRDefault="0063561E" w:rsidP="0063561E">
      <w:pPr>
        <w:numPr>
          <w:ilvl w:val="0"/>
          <w:numId w:val="9"/>
        </w:numPr>
        <w:spacing w:after="150" w:line="256" w:lineRule="auto"/>
        <w:ind w:left="11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  <w:lang w:eastAsia="ru-RU"/>
        </w:rPr>
        <w:t>Признает, что все дети могут учиться.</w:t>
      </w:r>
    </w:p>
    <w:p w:rsidR="0063561E" w:rsidRPr="00D4742C" w:rsidRDefault="0063561E" w:rsidP="0063561E">
      <w:pPr>
        <w:numPr>
          <w:ilvl w:val="0"/>
          <w:numId w:val="9"/>
        </w:numPr>
        <w:spacing w:after="150" w:line="256" w:lineRule="auto"/>
        <w:ind w:left="11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  <w:lang w:eastAsia="ru-RU"/>
        </w:rPr>
        <w:t>Работает над улучшением образовательных структур, систем и методик для обеспечения потребностей ВСЕХ детей.</w:t>
      </w:r>
    </w:p>
    <w:p w:rsidR="0063561E" w:rsidRPr="00D4742C" w:rsidRDefault="0063561E" w:rsidP="0063561E">
      <w:pPr>
        <w:numPr>
          <w:ilvl w:val="0"/>
          <w:numId w:val="9"/>
        </w:numPr>
        <w:spacing w:after="150" w:line="256" w:lineRule="auto"/>
        <w:ind w:left="11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  <w:lang w:eastAsia="ru-RU"/>
        </w:rPr>
        <w:t>Является частью большой стратегии по созданию инклюзивного общества</w:t>
      </w:r>
    </w:p>
    <w:p w:rsidR="0063561E" w:rsidRPr="00D4742C" w:rsidRDefault="0063561E" w:rsidP="0063561E">
      <w:pPr>
        <w:numPr>
          <w:ilvl w:val="0"/>
          <w:numId w:val="9"/>
        </w:numPr>
        <w:spacing w:after="150" w:line="256" w:lineRule="auto"/>
        <w:ind w:left="11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  <w:lang w:eastAsia="ru-RU"/>
        </w:rPr>
        <w:t>Является динамичным процессом, который постоянно в развитии</w:t>
      </w:r>
    </w:p>
    <w:p w:rsidR="0063561E" w:rsidRPr="00D4742C" w:rsidRDefault="0063561E" w:rsidP="0063561E">
      <w:pPr>
        <w:spacing w:after="150" w:line="256" w:lineRule="auto"/>
        <w:ind w:left="11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61E" w:rsidRPr="00D4742C" w:rsidRDefault="0063561E" w:rsidP="0063561E">
      <w:pPr>
        <w:spacing w:after="15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Что дает инклюзивное образование?</w:t>
      </w:r>
    </w:p>
    <w:p w:rsidR="0063561E" w:rsidRPr="00D4742C" w:rsidRDefault="0063561E" w:rsidP="0063561E">
      <w:pPr>
        <w:spacing w:after="15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Новый социальный подход к инвалидности.</w:t>
      </w:r>
    </w:p>
    <w:p w:rsidR="0063561E" w:rsidRPr="00D4742C" w:rsidRDefault="0063561E" w:rsidP="0063561E">
      <w:pPr>
        <w:spacing w:after="15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Рассматривает различие между людьми как ресурс, а не как проблему.</w:t>
      </w:r>
    </w:p>
    <w:p w:rsidR="0063561E" w:rsidRPr="00D4742C" w:rsidRDefault="0063561E" w:rsidP="0063561E">
      <w:pPr>
        <w:spacing w:after="15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Личностное развитие и социальные навыки</w:t>
      </w:r>
    </w:p>
    <w:p w:rsidR="0063561E" w:rsidRPr="00D4742C" w:rsidRDefault="0063561E" w:rsidP="0063561E">
      <w:pPr>
        <w:spacing w:after="15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Развитие самостоятельности и самоопределения.</w:t>
      </w:r>
    </w:p>
    <w:p w:rsidR="0063561E" w:rsidRPr="007C74D4" w:rsidRDefault="0063561E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2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- Развивает равные права и возможности вместо дискриминации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Инклюзивное образование базируется на восьми принципах: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Ценность человека не зависит от его способностей и достижений.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человек способен чувствовать и думать.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человек имеет право на общение и на то, чтобы быть услышанным.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люди нуждаются друг в друге.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Подлинное образование может осуществляться только в контексте реальных взаимоотношений.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люди нуждаются в поддержке и дружбе ровесников.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всех обучающихся достижение прогресса скорее в том, что они могут делать, чем в том, что не могут.</w:t>
      </w:r>
    </w:p>
    <w:p w:rsidR="006A187F" w:rsidRPr="007C74D4" w:rsidRDefault="006A187F" w:rsidP="006A1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усиливает все стороны жизни человека.</w:t>
      </w:r>
    </w:p>
    <w:p w:rsidR="00A37937" w:rsidRPr="007C74D4" w:rsidRDefault="00A37937" w:rsidP="007C74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hAnsi="Times New Roman" w:cs="Times New Roman"/>
          <w:sz w:val="28"/>
          <w:szCs w:val="28"/>
          <w:lang w:eastAsia="ru-RU"/>
        </w:rPr>
        <w:t>Инклюзивное образование</w:t>
      </w:r>
    </w:p>
    <w:p w:rsidR="00A37937" w:rsidRPr="007C74D4" w:rsidRDefault="00A37937" w:rsidP="007C74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hAnsi="Times New Roman" w:cs="Times New Roman"/>
          <w:sz w:val="28"/>
          <w:szCs w:val="28"/>
          <w:lang w:eastAsia="ru-RU"/>
        </w:rPr>
        <w:t>- Признает, что все дети могут учиться.</w:t>
      </w:r>
    </w:p>
    <w:p w:rsidR="00A37937" w:rsidRPr="007C74D4" w:rsidRDefault="00A37937" w:rsidP="007C74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hAnsi="Times New Roman" w:cs="Times New Roman"/>
          <w:sz w:val="28"/>
          <w:szCs w:val="28"/>
          <w:lang w:eastAsia="ru-RU"/>
        </w:rPr>
        <w:t>- Работает над улучшением образовательных структур, систем и методик для обеспечения потребностей ВСЕХ детей.</w:t>
      </w:r>
    </w:p>
    <w:p w:rsidR="00A37937" w:rsidRPr="007C74D4" w:rsidRDefault="00A37937" w:rsidP="007C74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hAnsi="Times New Roman" w:cs="Times New Roman"/>
          <w:sz w:val="28"/>
          <w:szCs w:val="28"/>
          <w:lang w:eastAsia="ru-RU"/>
        </w:rPr>
        <w:t>- Является частью большой стратегии по созданию инклюзивного общества.</w:t>
      </w:r>
    </w:p>
    <w:p w:rsidR="00D5132B" w:rsidRPr="0063561E" w:rsidRDefault="00A37937" w:rsidP="006356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hAnsi="Times New Roman" w:cs="Times New Roman"/>
          <w:sz w:val="28"/>
          <w:szCs w:val="28"/>
          <w:lang w:eastAsia="ru-RU"/>
        </w:rPr>
        <w:t>- Является динамичным процессом, который постоянно в развитии.</w:t>
      </w:r>
    </w:p>
    <w:p w:rsidR="00D5132B" w:rsidRPr="007C74D4" w:rsidRDefault="00D5132B" w:rsidP="007C5D79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509B3" w:rsidRPr="0063561E" w:rsidRDefault="00FA78F4" w:rsidP="0063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полноценного воспитания и образования детей с ограниченными возможностями здоровья, адекватного их состоянию и здоровью, введение инклюзивного обучения выделено в один из приоритетов социальной политики государства. </w:t>
      </w:r>
      <w:r w:rsidRPr="007C7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Инклюзивный</w:t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 к образованию вызван к жизни причинами различного характера. Совокупно их можно обозначить как социальный заказ достигшего определенного уровня экономического, культурного, правового развития общества и государства. Этот этап связан с переосмыслением обществом и государством своего отношения к людям с ОВЗ, с признанием не только равенства их прав, но и осознанием своей обязанности обеспечить таким людям равные со всеми другими возможности в разных областях жизни, включая образование.</w:t>
      </w:r>
      <w:r w:rsidR="0089346A" w:rsidRPr="007C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основе практики инклюзивного обучения лежит идея принятия индивидуальности каждого отдельного учащегося и, следовательно, обучение организовано таким образом, чтобы удовлетворить особые потребности каж</w:t>
      </w:r>
      <w:r w:rsidR="00D41FD4"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 ребенка.</w:t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Инклюзивное обучение делает акцент на персонализации процесса обучения, на разработке индивидуальной образовательной программы.</w:t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Идеология образования изменяется в сторону большей </w:t>
      </w:r>
      <w:proofErr w:type="spellStart"/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процесса и усиления воспитательной и социальной направленности обучения. Подлинная инклюзия не противопоставляет, а сближает две образовательные системы -общую и специальную, делая проницаемыми границы между ними.</w:t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Обязательным условием развития </w:t>
      </w:r>
      <w:r w:rsidRPr="007C7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инклюзивного</w:t>
      </w:r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образования является создание </w:t>
      </w:r>
      <w:proofErr w:type="spellStart"/>
      <w:r w:rsidRPr="007C7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безбарьеной</w:t>
      </w:r>
      <w:proofErr w:type="spellEnd"/>
      <w:r w:rsidRPr="007C7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среды, включая физическую и психологическую составляющие.</w:t>
      </w:r>
      <w:r w:rsidR="006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Соответственно при инклюзивном обучении ребёнок с </w:t>
      </w:r>
      <w:r w:rsidR="00D41FD4"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ОВЗ,</w:t>
      </w:r>
      <w:r w:rsidR="00394F26"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овладевает индивидуальной образовательной программой, учитывающей его развития и ориентированной, прежде всего, на личностные особенности его развития и социальную адаптацию.</w:t>
      </w:r>
      <w:r w:rsidR="0063561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общеобразовательного учреждения направлена не только на создание специальных условий для обучения и воспитания ребёнка с ОВЗ, но и на обеспечение взаимопонимания как между педагогами (специалистами в области коррекционной и общей педагогики), так и между учащимися с ОВЗ и их здоровыми сверстниками.</w:t>
      </w:r>
      <w:r w:rsidRP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создания «…системы, в которой удалось бы органически увязать специальную педагогику с педагогикой нормального детства» (Л.С. Выготский), обусловила появление модели комплексного психолого-педагогического сопровождения всех участников процесса инклюзивного образования. Одним из обязательных условий реализации образовательного процесса в условиях инклюзивного обучения и воспитания явилось осуществление психолого-педагогического сопровождения детей с ОВЗ в общеобразовательном учреждении.</w:t>
      </w:r>
      <w:r w:rsidRP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группы сопровождения направлена в первую очередь на изучение особенностей развития каждого конкретного учащегося, его особых образовательных потребностей, составление индивидуальной образовательной программы, разработку индивидуальной программы сопровождения, которая фиксируется в индивидуальной карте психолого-педагогического сопровождения развития учащегося.</w:t>
      </w:r>
      <w:r w:rsid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вышеуказанных задач и работа по указанным направлениям осуществляется командой специалистов, в состав которой входят: учитель-дефектолог, педагог-психолог, учитель-логопед, социальный педагог, </w:t>
      </w:r>
      <w:proofErr w:type="spellStart"/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</w:t>
      </w:r>
      <w:proofErr w:type="spellEnd"/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методист, учителя-предметники, классный руководитель.</w:t>
      </w:r>
      <w:r w:rsidRP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FD4"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всего перио</w:t>
      </w:r>
      <w:r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обучения группа сопровождения осуществляет работу по выбору адекватных методов и приемов обучения, адаптации учебных программ общеобразовательных учреждений для учащихся с</w:t>
      </w:r>
      <w:r w:rsidR="00D41FD4" w:rsidRP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ООП</w:t>
      </w:r>
      <w:r w:rsidR="0063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5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09B3" w:rsidRPr="0063561E">
        <w:rPr>
          <w:rFonts w:ascii="Times New Roman" w:hAnsi="Times New Roman" w:cs="Times New Roman"/>
          <w:color w:val="000000"/>
          <w:sz w:val="28"/>
          <w:szCs w:val="28"/>
        </w:rPr>
        <w:t>Очень важным уме</w:t>
      </w:r>
      <w:r w:rsidR="0063561E">
        <w:rPr>
          <w:rFonts w:ascii="Times New Roman" w:hAnsi="Times New Roman" w:cs="Times New Roman"/>
          <w:color w:val="000000"/>
          <w:sz w:val="28"/>
          <w:szCs w:val="28"/>
        </w:rPr>
        <w:t xml:space="preserve">нием в работе детьми </w:t>
      </w:r>
      <w:r w:rsidR="007509B3" w:rsidRPr="0063561E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здоровья, является ещё и умение разрабатывать индивидуальную программу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b/>
          <w:bCs/>
          <w:color w:val="000000"/>
          <w:sz w:val="28"/>
          <w:szCs w:val="28"/>
        </w:rPr>
        <w:t xml:space="preserve"> При составлении индивидуальной программы развития ребенка используются следующие методы и приемы:</w:t>
      </w:r>
    </w:p>
    <w:p w:rsidR="007509B3" w:rsidRPr="0063561E" w:rsidRDefault="007509B3" w:rsidP="007509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изучение документов, личных дел;</w:t>
      </w:r>
    </w:p>
    <w:p w:rsidR="007509B3" w:rsidRPr="0063561E" w:rsidRDefault="007509B3" w:rsidP="007509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знакомство с медицинским обследованием, выделение неблагополучных этапов в развитии ребенка;</w:t>
      </w:r>
    </w:p>
    <w:p w:rsidR="007509B3" w:rsidRPr="0063561E" w:rsidRDefault="007509B3" w:rsidP="007509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изучение социума (внешкольных связей) ребенка;</w:t>
      </w:r>
    </w:p>
    <w:p w:rsidR="007509B3" w:rsidRPr="0063561E" w:rsidRDefault="007509B3" w:rsidP="007509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диагностические исследования.</w:t>
      </w:r>
    </w:p>
    <w:p w:rsidR="000B2BC0" w:rsidRDefault="000B2BC0" w:rsidP="007509B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b/>
          <w:bCs/>
          <w:color w:val="000000"/>
          <w:sz w:val="28"/>
          <w:szCs w:val="28"/>
        </w:rPr>
        <w:lastRenderedPageBreak/>
        <w:t>Этапы составления индивидуальной программы развития ребенка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 xml:space="preserve">            Цель предварительного этапа работы – сбор информации о ребенке.</w:t>
      </w:r>
    </w:p>
    <w:p w:rsidR="007509B3" w:rsidRPr="0063561E" w:rsidRDefault="007509B3" w:rsidP="007509B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Цель диагностического этапа: - изучение эмоционально-личностных особенностей ребенка, определяется его статус, зоны актуального и ближайшего развития.</w:t>
      </w:r>
    </w:p>
    <w:p w:rsidR="007509B3" w:rsidRPr="0063561E" w:rsidRDefault="007509B3" w:rsidP="007509B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Цель коррекционно-развивающего этапа: - улучшение психического состояния обучающихся, коррекция эмоционально-волевой и познавательной сфер, получение помощи в социализации и профориентации, своевременная организация лечебно-оздоровительных мероприятий.</w:t>
      </w:r>
    </w:p>
    <w:p w:rsidR="007509B3" w:rsidRPr="0063561E" w:rsidRDefault="007509B3" w:rsidP="007509B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Цель заключительного этапа – анализ результатов эффективности психолого-педагогического и медико-социального сопровождения обучающихся в школе, адаптации ребенка, коррекционно-развивающей работы и др.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b/>
          <w:bCs/>
          <w:color w:val="000000"/>
          <w:sz w:val="28"/>
          <w:szCs w:val="28"/>
        </w:rPr>
        <w:t xml:space="preserve"> Динамика работы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1. Выявление актуальных проблем ребенка.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2. Разработка путей поддержки и коррекции.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3.Составление индивидуальной программы сопровождения (адаптации, профилактики и др.).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4. Реализация намеченной программы.</w:t>
      </w:r>
    </w:p>
    <w:p w:rsidR="007509B3" w:rsidRPr="0063561E" w:rsidRDefault="007509B3" w:rsidP="007B3F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 xml:space="preserve">Составление индивидуальной программы развития (психолого-педагогического и медико-социального сопровождения, адаптационной, профилактической или коррекционно-развивающей) поможет логопеду, педагогу-психологу, социальному </w:t>
      </w:r>
      <w:proofErr w:type="gramStart"/>
      <w:r w:rsidRPr="0063561E">
        <w:rPr>
          <w:color w:val="000000"/>
          <w:sz w:val="28"/>
          <w:szCs w:val="28"/>
        </w:rPr>
        <w:t xml:space="preserve">педагогу </w:t>
      </w:r>
      <w:r w:rsidR="00160428" w:rsidRPr="0063561E">
        <w:rPr>
          <w:color w:val="000000"/>
          <w:sz w:val="28"/>
          <w:szCs w:val="28"/>
        </w:rPr>
        <w:t>,</w:t>
      </w:r>
      <w:proofErr w:type="gramEnd"/>
      <w:r w:rsidR="002260AF">
        <w:rPr>
          <w:color w:val="000000"/>
          <w:sz w:val="28"/>
          <w:szCs w:val="28"/>
        </w:rPr>
        <w:t xml:space="preserve"> </w:t>
      </w:r>
      <w:r w:rsidR="00160428" w:rsidRPr="0063561E">
        <w:rPr>
          <w:color w:val="000000"/>
          <w:sz w:val="28"/>
          <w:szCs w:val="28"/>
        </w:rPr>
        <w:t xml:space="preserve">учителям-предметникам </w:t>
      </w:r>
      <w:r w:rsidRPr="0063561E">
        <w:rPr>
          <w:color w:val="000000"/>
          <w:sz w:val="28"/>
          <w:szCs w:val="28"/>
        </w:rPr>
        <w:t>эффективно реализовать программное содержание.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Индивидуальная программа обучения, составленная для учащихся с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различными возможностями, помогает учителям обрести чувство уверенности в том, что школьное обучение этих детей будет иметь положительный результат.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Качественно составленный индивидуальный учебный план также помогает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учителю структурировать и систематизировать процесс обучения в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определённых образовательных областях (целевых направлениях). Это не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означает, что всё, что изучает ребёнок в школе, должно быть обязательно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включено в индивидуальный учебный план (программу). Скорее,</w:t>
      </w:r>
    </w:p>
    <w:p w:rsidR="007509B3" w:rsidRPr="0063561E" w:rsidRDefault="007509B3" w:rsidP="007509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индивидуальная программа фокусируется на тех моментах, которые являются приоритетными для обучения этого ребёнка в определённый период времени.</w:t>
      </w:r>
    </w:p>
    <w:p w:rsidR="00F14AC1" w:rsidRPr="0063561E" w:rsidRDefault="007509B3" w:rsidP="00F14A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61E">
        <w:rPr>
          <w:color w:val="000000"/>
          <w:sz w:val="28"/>
          <w:szCs w:val="28"/>
        </w:rPr>
        <w:t>При правильном использовании, такие программы могут стать прекрасными</w:t>
      </w:r>
    </w:p>
    <w:p w:rsidR="00F14AC1" w:rsidRPr="0063561E" w:rsidRDefault="007509B3" w:rsidP="00F14A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3561E">
        <w:rPr>
          <w:color w:val="000000"/>
          <w:sz w:val="28"/>
          <w:szCs w:val="28"/>
        </w:rPr>
        <w:t>помощниками в ежедневной учительской практике.</w:t>
      </w:r>
      <w:r w:rsidR="0044356B" w:rsidRPr="0063561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2BE2" w:rsidRPr="002260AF" w:rsidRDefault="008C5EA1" w:rsidP="006D477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260AF"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В заключение хочется сказать </w:t>
      </w:r>
      <w:proofErr w:type="gramStart"/>
      <w:r w:rsidRPr="002260AF">
        <w:rPr>
          <w:b/>
          <w:color w:val="333333"/>
          <w:sz w:val="28"/>
          <w:szCs w:val="28"/>
          <w:shd w:val="clear" w:color="auto" w:fill="FFFFFF"/>
        </w:rPr>
        <w:t xml:space="preserve">словами </w:t>
      </w:r>
      <w:r w:rsidR="002E74A2" w:rsidRPr="002260AF">
        <w:rPr>
          <w:b/>
          <w:color w:val="333333"/>
          <w:sz w:val="28"/>
          <w:szCs w:val="28"/>
          <w:shd w:val="clear" w:color="auto" w:fill="FFFFFF"/>
        </w:rPr>
        <w:t xml:space="preserve"> американского</w:t>
      </w:r>
      <w:proofErr w:type="gramEnd"/>
      <w:r w:rsidR="002E74A2" w:rsidRPr="002260AF">
        <w:rPr>
          <w:b/>
          <w:color w:val="333333"/>
          <w:sz w:val="28"/>
          <w:szCs w:val="28"/>
          <w:shd w:val="clear" w:color="auto" w:fill="FFFFFF"/>
        </w:rPr>
        <w:t xml:space="preserve"> психолога </w:t>
      </w:r>
      <w:r w:rsidRPr="002260AF">
        <w:rPr>
          <w:b/>
          <w:color w:val="333333"/>
          <w:sz w:val="28"/>
          <w:szCs w:val="28"/>
          <w:shd w:val="clear" w:color="auto" w:fill="FFFFFF"/>
        </w:rPr>
        <w:t>У</w:t>
      </w:r>
      <w:r w:rsidR="002E74A2" w:rsidRPr="002260AF">
        <w:rPr>
          <w:b/>
          <w:color w:val="333333"/>
          <w:sz w:val="28"/>
          <w:szCs w:val="28"/>
          <w:shd w:val="clear" w:color="auto" w:fill="FFFFFF"/>
        </w:rPr>
        <w:t xml:space="preserve">ильяма </w:t>
      </w:r>
      <w:r w:rsidRPr="002260AF">
        <w:rPr>
          <w:b/>
          <w:color w:val="333333"/>
          <w:sz w:val="28"/>
          <w:szCs w:val="28"/>
          <w:shd w:val="clear" w:color="auto" w:fill="FFFFFF"/>
        </w:rPr>
        <w:t>Джеймса «Для человека не существует более чудовищного наказания, чем быть предоставленным в обществе самому себе и оставаться абсолютно незамеченным».</w:t>
      </w:r>
      <w:r w:rsidRPr="002260AF">
        <w:rPr>
          <w:b/>
          <w:color w:val="333333"/>
          <w:sz w:val="28"/>
          <w:szCs w:val="28"/>
        </w:rPr>
        <w:br/>
      </w:r>
      <w:r w:rsidRPr="002260AF">
        <w:rPr>
          <w:b/>
          <w:color w:val="333333"/>
          <w:sz w:val="28"/>
          <w:szCs w:val="28"/>
          <w:shd w:val="clear" w:color="auto" w:fill="FFFFFF"/>
        </w:rPr>
        <w:t>Наша задача показать детям, что мир – разнообразен, что люди в нем – разные, что каждый человек при разных возможностях имеет равные права на жизнь, воспитание, обучение, развитие.</w:t>
      </w:r>
    </w:p>
    <w:p w:rsidR="009956EB" w:rsidRPr="0063561E" w:rsidRDefault="009956EB" w:rsidP="00FA78F4">
      <w:pPr>
        <w:rPr>
          <w:rFonts w:ascii="Times New Roman" w:hAnsi="Times New Roman" w:cs="Times New Roman"/>
          <w:sz w:val="28"/>
          <w:szCs w:val="28"/>
        </w:rPr>
      </w:pPr>
    </w:p>
    <w:sectPr w:rsidR="009956EB" w:rsidRPr="0063561E" w:rsidSect="00F14A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B17"/>
    <w:multiLevelType w:val="hybridMultilevel"/>
    <w:tmpl w:val="30E66A78"/>
    <w:lvl w:ilvl="0" w:tplc="1C80AED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2ACA"/>
    <w:multiLevelType w:val="multilevel"/>
    <w:tmpl w:val="AA52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B5EF4"/>
    <w:multiLevelType w:val="multilevel"/>
    <w:tmpl w:val="DCA8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371EB"/>
    <w:multiLevelType w:val="multilevel"/>
    <w:tmpl w:val="4922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B79B1"/>
    <w:multiLevelType w:val="hybridMultilevel"/>
    <w:tmpl w:val="9E3CE1E0"/>
    <w:lvl w:ilvl="0" w:tplc="CDC22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A07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488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6A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48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708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CA8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A0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40E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6A626B"/>
    <w:multiLevelType w:val="multilevel"/>
    <w:tmpl w:val="DB44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776B1"/>
    <w:multiLevelType w:val="multilevel"/>
    <w:tmpl w:val="5BE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E76D4"/>
    <w:multiLevelType w:val="multilevel"/>
    <w:tmpl w:val="EE1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760C8"/>
    <w:multiLevelType w:val="multilevel"/>
    <w:tmpl w:val="38C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C"/>
    <w:rsid w:val="00016DA0"/>
    <w:rsid w:val="000618C4"/>
    <w:rsid w:val="00083F3F"/>
    <w:rsid w:val="000B2BC0"/>
    <w:rsid w:val="001265FA"/>
    <w:rsid w:val="00160428"/>
    <w:rsid w:val="001776DF"/>
    <w:rsid w:val="001A6022"/>
    <w:rsid w:val="001C63FA"/>
    <w:rsid w:val="00222C5F"/>
    <w:rsid w:val="002260AF"/>
    <w:rsid w:val="00265FB0"/>
    <w:rsid w:val="002C6AD3"/>
    <w:rsid w:val="002E15CC"/>
    <w:rsid w:val="002E74A2"/>
    <w:rsid w:val="00340198"/>
    <w:rsid w:val="00394F26"/>
    <w:rsid w:val="003B2148"/>
    <w:rsid w:val="00404004"/>
    <w:rsid w:val="0044356B"/>
    <w:rsid w:val="00501D4D"/>
    <w:rsid w:val="00570D64"/>
    <w:rsid w:val="0063561E"/>
    <w:rsid w:val="00647CFC"/>
    <w:rsid w:val="00666B52"/>
    <w:rsid w:val="00691042"/>
    <w:rsid w:val="006A187F"/>
    <w:rsid w:val="006D4777"/>
    <w:rsid w:val="007509B3"/>
    <w:rsid w:val="007634BD"/>
    <w:rsid w:val="007B3FC8"/>
    <w:rsid w:val="007C5D79"/>
    <w:rsid w:val="007C74D4"/>
    <w:rsid w:val="00811BD3"/>
    <w:rsid w:val="00836CF4"/>
    <w:rsid w:val="00841D59"/>
    <w:rsid w:val="0089346A"/>
    <w:rsid w:val="008C5EA1"/>
    <w:rsid w:val="009956EB"/>
    <w:rsid w:val="009D2BE2"/>
    <w:rsid w:val="009D4CFD"/>
    <w:rsid w:val="009F191D"/>
    <w:rsid w:val="00A37937"/>
    <w:rsid w:val="00AD3208"/>
    <w:rsid w:val="00AF3F07"/>
    <w:rsid w:val="00CA565D"/>
    <w:rsid w:val="00D41FD4"/>
    <w:rsid w:val="00D4742C"/>
    <w:rsid w:val="00D5132B"/>
    <w:rsid w:val="00DF48B3"/>
    <w:rsid w:val="00E77E88"/>
    <w:rsid w:val="00F06F13"/>
    <w:rsid w:val="00F14AC1"/>
    <w:rsid w:val="00F24543"/>
    <w:rsid w:val="00F432FF"/>
    <w:rsid w:val="00F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606CF-42D2-420B-B9FF-161C567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5D79"/>
    <w:pPr>
      <w:ind w:left="720"/>
      <w:contextualSpacing/>
    </w:pPr>
  </w:style>
  <w:style w:type="table" w:styleId="a5">
    <w:name w:val="Table Grid"/>
    <w:basedOn w:val="a1"/>
    <w:uiPriority w:val="59"/>
    <w:rsid w:val="007C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7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10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633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672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Аругул</cp:lastModifiedBy>
  <cp:revision>53</cp:revision>
  <cp:lastPrinted>2021-01-08T10:24:00Z</cp:lastPrinted>
  <dcterms:created xsi:type="dcterms:W3CDTF">2020-08-26T07:02:00Z</dcterms:created>
  <dcterms:modified xsi:type="dcterms:W3CDTF">2023-02-14T19:20:00Z</dcterms:modified>
</cp:coreProperties>
</file>